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B34" w14:textId="77777777" w:rsidR="001A716B" w:rsidRDefault="001A716B"/>
    <w:p w14:paraId="0AE8CCB9" w14:textId="77777777" w:rsidR="001A716B" w:rsidRPr="001A716B" w:rsidRDefault="002C6B42" w:rsidP="001A716B">
      <w:r>
        <w:t xml:space="preserve">                                               </w:t>
      </w:r>
    </w:p>
    <w:p w14:paraId="20029F17" w14:textId="760B80EB" w:rsidR="002C6B42" w:rsidRPr="00936E4D" w:rsidRDefault="002C6B42" w:rsidP="002C6B42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</w:t>
      </w:r>
      <w:r w:rsidRPr="00936E4D">
        <w:rPr>
          <w:rFonts w:ascii="Arial" w:hAnsi="Arial" w:cs="Arial"/>
          <w:b/>
          <w:sz w:val="22"/>
          <w:szCs w:val="22"/>
        </w:rPr>
        <w:t xml:space="preserve">Załącznik nr </w:t>
      </w:r>
      <w:r w:rsidR="00D740F0">
        <w:rPr>
          <w:rFonts w:ascii="Arial" w:hAnsi="Arial" w:cs="Arial"/>
          <w:b/>
          <w:sz w:val="22"/>
          <w:szCs w:val="22"/>
        </w:rPr>
        <w:t>1</w:t>
      </w:r>
      <w:r w:rsidR="001E720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AC55310" w14:textId="77777777" w:rsidR="00936E4D" w:rsidRPr="003E38F8" w:rsidRDefault="00936E4D" w:rsidP="002C6B42">
      <w:pPr>
        <w:rPr>
          <w:rFonts w:ascii="Calibri" w:hAnsi="Calibri" w:cs="Calibri"/>
          <w:b/>
        </w:rPr>
      </w:pPr>
    </w:p>
    <w:p w14:paraId="0889BE97" w14:textId="2BCB3652" w:rsidR="002C6B42" w:rsidRPr="00F27B8F" w:rsidRDefault="002C6B42" w:rsidP="002C6B42">
      <w:pPr>
        <w:rPr>
          <w:rFonts w:ascii="Arial" w:hAnsi="Arial" w:cs="Arial"/>
          <w:bCs/>
        </w:rPr>
      </w:pPr>
      <w:r>
        <w:rPr>
          <w:rFonts w:ascii="Calibri" w:hAnsi="Calibri" w:cs="Calibri"/>
          <w:b/>
        </w:rPr>
        <w:t xml:space="preserve"> </w:t>
      </w:r>
      <w:r w:rsidRPr="00F27B8F">
        <w:rPr>
          <w:rFonts w:ascii="Arial" w:hAnsi="Arial" w:cs="Arial"/>
          <w:bCs/>
        </w:rPr>
        <w:t>Znak sprawy WSPL-DL.261</w:t>
      </w:r>
      <w:r w:rsidR="00333D8D" w:rsidRPr="00F27B8F">
        <w:rPr>
          <w:rFonts w:ascii="Arial" w:hAnsi="Arial" w:cs="Arial"/>
          <w:bCs/>
        </w:rPr>
        <w:t>3</w:t>
      </w:r>
      <w:r w:rsidR="00494738" w:rsidRPr="00F27B8F">
        <w:rPr>
          <w:rFonts w:ascii="Arial" w:hAnsi="Arial" w:cs="Arial"/>
          <w:bCs/>
        </w:rPr>
        <w:t>.5</w:t>
      </w:r>
      <w:r w:rsidR="000F6DE9" w:rsidRPr="00F27B8F">
        <w:rPr>
          <w:rFonts w:ascii="Arial" w:hAnsi="Arial" w:cs="Arial"/>
          <w:bCs/>
        </w:rPr>
        <w:t>.</w:t>
      </w:r>
      <w:r w:rsidRPr="00F27B8F">
        <w:rPr>
          <w:rFonts w:ascii="Arial" w:hAnsi="Arial" w:cs="Arial"/>
          <w:bCs/>
        </w:rPr>
        <w:t>2022</w:t>
      </w:r>
    </w:p>
    <w:p w14:paraId="27614BA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5A9FD9E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177280B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1347FF85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C225CC5" w14:textId="77777777" w:rsidR="002C6B42" w:rsidRDefault="002C6B42" w:rsidP="002C6B42">
      <w:pPr>
        <w:jc w:val="center"/>
        <w:rPr>
          <w:rFonts w:ascii="Calibri" w:hAnsi="Calibri" w:cs="Calibri"/>
          <w:b/>
          <w:u w:val="single"/>
        </w:rPr>
      </w:pPr>
    </w:p>
    <w:p w14:paraId="5D4DC808" w14:textId="02E48923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Specyfikacja </w:t>
      </w:r>
      <w:r w:rsidR="000F6DE9">
        <w:rPr>
          <w:rFonts w:ascii="Arial" w:hAnsi="Arial" w:cs="Arial"/>
          <w:b/>
          <w:sz w:val="22"/>
          <w:szCs w:val="22"/>
        </w:rPr>
        <w:t>dla testów panelowych</w:t>
      </w:r>
      <w:r w:rsidRPr="00471055">
        <w:rPr>
          <w:rFonts w:ascii="Arial" w:hAnsi="Arial" w:cs="Arial"/>
          <w:b/>
          <w:sz w:val="22"/>
          <w:szCs w:val="22"/>
        </w:rPr>
        <w:t>.</w:t>
      </w:r>
    </w:p>
    <w:p w14:paraId="0BFFCC47" w14:textId="77777777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</w:p>
    <w:p w14:paraId="3F424483" w14:textId="6613A81D" w:rsidR="00471055" w:rsidRDefault="00471055" w:rsidP="002C6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Niespełnienie co najmniej jednego z postawionych poniżej wymagań co do ich wartości minimalnych spowoduje odrzucenie oferty.</w:t>
      </w:r>
    </w:p>
    <w:p w14:paraId="1B254564" w14:textId="1AB4D6AE" w:rsidR="00471055" w:rsidRPr="00471055" w:rsidRDefault="00471055" w:rsidP="002C6B42">
      <w:pPr>
        <w:rPr>
          <w:rFonts w:ascii="Arial" w:hAnsi="Arial" w:cs="Arial"/>
          <w:sz w:val="22"/>
          <w:szCs w:val="22"/>
        </w:rPr>
      </w:pPr>
      <w:r w:rsidRPr="00471055">
        <w:rPr>
          <w:rFonts w:ascii="Arial" w:hAnsi="Arial" w:cs="Arial"/>
          <w:b/>
          <w:bCs/>
          <w:sz w:val="22"/>
          <w:szCs w:val="22"/>
        </w:rPr>
        <w:t xml:space="preserve">Kolumnę </w:t>
      </w:r>
      <w:r w:rsidR="00A728F3">
        <w:rPr>
          <w:rFonts w:ascii="Arial" w:hAnsi="Arial" w:cs="Arial"/>
          <w:b/>
          <w:bCs/>
          <w:sz w:val="22"/>
          <w:szCs w:val="22"/>
        </w:rPr>
        <w:t>3</w:t>
      </w:r>
      <w:r w:rsidRPr="00471055">
        <w:rPr>
          <w:rFonts w:ascii="Arial" w:hAnsi="Arial" w:cs="Arial"/>
          <w:b/>
          <w:bCs/>
          <w:sz w:val="22"/>
          <w:szCs w:val="22"/>
        </w:rPr>
        <w:t xml:space="preserve"> wypełnia Wykonawca</w:t>
      </w:r>
      <w:r>
        <w:rPr>
          <w:rFonts w:ascii="Arial" w:hAnsi="Arial" w:cs="Arial"/>
          <w:sz w:val="22"/>
          <w:szCs w:val="22"/>
        </w:rPr>
        <w:t>.</w:t>
      </w:r>
    </w:p>
    <w:p w14:paraId="4E7AC15E" w14:textId="77777777" w:rsidR="001A716B" w:rsidRPr="001A716B" w:rsidRDefault="001A716B" w:rsidP="001A716B"/>
    <w:p w14:paraId="56590857" w14:textId="77777777" w:rsidR="001A716B" w:rsidRPr="001A716B" w:rsidRDefault="001A716B" w:rsidP="001A716B"/>
    <w:p w14:paraId="30A1DF9A" w14:textId="77777777" w:rsidR="001A716B" w:rsidRDefault="001A716B" w:rsidP="001A716B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568"/>
        <w:gridCol w:w="1984"/>
      </w:tblGrid>
      <w:tr w:rsidR="00F61254" w:rsidRPr="00BA7380" w14:paraId="721F85BF" w14:textId="77777777" w:rsidTr="00F61254">
        <w:tc>
          <w:tcPr>
            <w:tcW w:w="587" w:type="dxa"/>
            <w:vAlign w:val="center"/>
          </w:tcPr>
          <w:p w14:paraId="017D5361" w14:textId="77777777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68" w:type="dxa"/>
            <w:vAlign w:val="center"/>
          </w:tcPr>
          <w:p w14:paraId="3FF46FED" w14:textId="286B8B38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PIS PARAMETR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ÓW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WYMAGANY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984" w:type="dxa"/>
            <w:vAlign w:val="center"/>
          </w:tcPr>
          <w:p w14:paraId="5AF13232" w14:textId="0CA5CDB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Odpowiedź Wykonawcy- TAK/NIE </w:t>
            </w:r>
          </w:p>
        </w:tc>
      </w:tr>
      <w:tr w:rsidR="00F61254" w:rsidRPr="00BA7380" w14:paraId="0CF6E194" w14:textId="77777777" w:rsidTr="00F61254">
        <w:tc>
          <w:tcPr>
            <w:tcW w:w="587" w:type="dxa"/>
            <w:vAlign w:val="center"/>
          </w:tcPr>
          <w:p w14:paraId="594427FF" w14:textId="0A8662E4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26BF460B" w14:textId="608C7E85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FB1A43E" w14:textId="12744BA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F61254" w:rsidRPr="00BA7380" w14:paraId="12C1E2C4" w14:textId="77777777" w:rsidTr="00F61254">
        <w:tc>
          <w:tcPr>
            <w:tcW w:w="587" w:type="dxa"/>
            <w:vAlign w:val="center"/>
          </w:tcPr>
          <w:p w14:paraId="7E1CEEC3" w14:textId="30EB84D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3700A347" w14:textId="56478EA2" w:rsidR="00F61254" w:rsidRPr="00A728F3" w:rsidRDefault="00F61254" w:rsidP="00F612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8F3">
              <w:rPr>
                <w:rFonts w:ascii="Arial" w:hAnsi="Arial" w:cs="Arial"/>
              </w:rPr>
              <w:t>Testy paskowe- jeden pasek testowy przeznaczony na  jednego pacjenta</w:t>
            </w:r>
          </w:p>
        </w:tc>
        <w:tc>
          <w:tcPr>
            <w:tcW w:w="1984" w:type="dxa"/>
            <w:vAlign w:val="center"/>
          </w:tcPr>
          <w:p w14:paraId="35A4EA6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031988F" w14:textId="77777777" w:rsidTr="00F61254">
        <w:tc>
          <w:tcPr>
            <w:tcW w:w="587" w:type="dxa"/>
            <w:vAlign w:val="center"/>
          </w:tcPr>
          <w:p w14:paraId="58E5D44D" w14:textId="5654E0B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14:paraId="040E6FE8" w14:textId="7AA257D8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Minimum trzy linie standardowe (wartości niskie, średnie i wysokie) umożliwiające wykreślenie krzywej kalibracyjnej w czasie rzeczywistym do wykonania testu z uwzględnieniem tła- naniesione  na każdy pasek testowy</w:t>
            </w:r>
          </w:p>
        </w:tc>
        <w:tc>
          <w:tcPr>
            <w:tcW w:w="1984" w:type="dxa"/>
            <w:vAlign w:val="center"/>
          </w:tcPr>
          <w:p w14:paraId="31AD4B61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6AC7EF" w14:textId="77777777" w:rsidTr="00F61254">
        <w:tc>
          <w:tcPr>
            <w:tcW w:w="587" w:type="dxa"/>
            <w:vAlign w:val="center"/>
          </w:tcPr>
          <w:p w14:paraId="31328067" w14:textId="113E83F6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568" w:type="dxa"/>
            <w:vAlign w:val="center"/>
          </w:tcPr>
          <w:p w14:paraId="7974C894" w14:textId="6ABC030B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Odczynniki z zastosowaniem przeciwciał monoklonalnych</w:t>
            </w:r>
          </w:p>
        </w:tc>
        <w:tc>
          <w:tcPr>
            <w:tcW w:w="1984" w:type="dxa"/>
            <w:vAlign w:val="center"/>
          </w:tcPr>
          <w:p w14:paraId="7CE092C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1785C869" w14:textId="77777777" w:rsidTr="00F61254">
        <w:tc>
          <w:tcPr>
            <w:tcW w:w="587" w:type="dxa"/>
            <w:vAlign w:val="center"/>
          </w:tcPr>
          <w:p w14:paraId="4C9C86B0" w14:textId="26592AEB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568" w:type="dxa"/>
            <w:vAlign w:val="center"/>
          </w:tcPr>
          <w:p w14:paraId="2BE7E6F4" w14:textId="568CAA5E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W standardach ludzkie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</w:p>
        </w:tc>
        <w:tc>
          <w:tcPr>
            <w:tcW w:w="1984" w:type="dxa"/>
            <w:vAlign w:val="center"/>
          </w:tcPr>
          <w:p w14:paraId="1879E65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72DB518" w14:textId="77777777" w:rsidTr="00F61254">
        <w:tc>
          <w:tcPr>
            <w:tcW w:w="587" w:type="dxa"/>
            <w:vAlign w:val="center"/>
          </w:tcPr>
          <w:p w14:paraId="6BE38EE8" w14:textId="45D035D7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568" w:type="dxa"/>
            <w:vAlign w:val="center"/>
          </w:tcPr>
          <w:p w14:paraId="13EE5C5C" w14:textId="6D70C4F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Potwierdzony brak reakcji krzyżowych z </w:t>
            </w:r>
            <w:proofErr w:type="spellStart"/>
            <w:r w:rsidRPr="00A728F3">
              <w:rPr>
                <w:rFonts w:ascii="Arial" w:hAnsi="Arial" w:cs="Arial"/>
              </w:rPr>
              <w:t>IgG</w:t>
            </w:r>
            <w:proofErr w:type="spellEnd"/>
            <w:r w:rsidRPr="00A728F3">
              <w:rPr>
                <w:rFonts w:ascii="Arial" w:hAnsi="Arial" w:cs="Arial"/>
              </w:rPr>
              <w:t xml:space="preserve">, </w:t>
            </w:r>
            <w:proofErr w:type="spellStart"/>
            <w:r w:rsidRPr="00A728F3">
              <w:rPr>
                <w:rFonts w:ascii="Arial" w:hAnsi="Arial" w:cs="Arial"/>
              </w:rPr>
              <w:t>IgA</w:t>
            </w:r>
            <w:proofErr w:type="spellEnd"/>
            <w:r w:rsidRPr="00A728F3">
              <w:rPr>
                <w:rFonts w:ascii="Arial" w:hAnsi="Arial" w:cs="Arial"/>
              </w:rPr>
              <w:t xml:space="preserve">, </w:t>
            </w:r>
            <w:proofErr w:type="spellStart"/>
            <w:r w:rsidRPr="00A728F3">
              <w:rPr>
                <w:rFonts w:ascii="Arial" w:hAnsi="Arial" w:cs="Arial"/>
              </w:rPr>
              <w:t>IgM</w:t>
            </w:r>
            <w:proofErr w:type="spellEnd"/>
            <w:r w:rsidRPr="00A728F3">
              <w:rPr>
                <w:rFonts w:ascii="Arial" w:hAnsi="Arial" w:cs="Arial"/>
              </w:rPr>
              <w:t xml:space="preserve"> i </w:t>
            </w:r>
            <w:proofErr w:type="spellStart"/>
            <w:r w:rsidRPr="00A728F3">
              <w:rPr>
                <w:rFonts w:ascii="Arial" w:hAnsi="Arial" w:cs="Arial"/>
              </w:rPr>
              <w:t>IgD</w:t>
            </w:r>
            <w:proofErr w:type="spellEnd"/>
          </w:p>
        </w:tc>
        <w:tc>
          <w:tcPr>
            <w:tcW w:w="1984" w:type="dxa"/>
            <w:vAlign w:val="center"/>
          </w:tcPr>
          <w:p w14:paraId="282B7B8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FCDF5EF" w14:textId="77777777" w:rsidTr="00F61254">
        <w:tc>
          <w:tcPr>
            <w:tcW w:w="587" w:type="dxa"/>
            <w:vAlign w:val="center"/>
          </w:tcPr>
          <w:p w14:paraId="6D78BD5A" w14:textId="5FAE42F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568" w:type="dxa"/>
            <w:vAlign w:val="center"/>
          </w:tcPr>
          <w:p w14:paraId="424DAB7F" w14:textId="77777777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Wyniki swoistych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  <w:r w:rsidRPr="00A728F3">
              <w:rPr>
                <w:rFonts w:ascii="Arial" w:hAnsi="Arial" w:cs="Arial"/>
              </w:rPr>
              <w:t xml:space="preserve"> dla każdego alergenu w panelu oceniany indywidualnie: podana jest klasa</w:t>
            </w:r>
          </w:p>
          <w:p w14:paraId="4C051B1C" w14:textId="1286D089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(od 0 do 6) oraz wynik liczbowy wyrażony w jednostkach międzynarodowych. Wynik przedstawiony jest graficznie.</w:t>
            </w:r>
          </w:p>
        </w:tc>
        <w:tc>
          <w:tcPr>
            <w:tcW w:w="1984" w:type="dxa"/>
            <w:vAlign w:val="center"/>
          </w:tcPr>
          <w:p w14:paraId="0FDB6C1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2A2BEF0" w14:textId="77777777" w:rsidTr="00F61254">
        <w:tc>
          <w:tcPr>
            <w:tcW w:w="587" w:type="dxa"/>
            <w:vAlign w:val="center"/>
          </w:tcPr>
          <w:p w14:paraId="4A6B3A54" w14:textId="3B4C9B22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568" w:type="dxa"/>
            <w:vAlign w:val="center"/>
          </w:tcPr>
          <w:p w14:paraId="0EA9765F" w14:textId="2A454B30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objętość nierozcieńczonej surowicy na jedno badanie – maksymalnie 200µl</w:t>
            </w:r>
          </w:p>
        </w:tc>
        <w:tc>
          <w:tcPr>
            <w:tcW w:w="1984" w:type="dxa"/>
            <w:vAlign w:val="center"/>
          </w:tcPr>
          <w:p w14:paraId="1B0BE6D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289862F" w14:textId="77777777" w:rsidTr="00F61254">
        <w:tc>
          <w:tcPr>
            <w:tcW w:w="587" w:type="dxa"/>
            <w:vAlign w:val="center"/>
          </w:tcPr>
          <w:p w14:paraId="4935E800" w14:textId="04E83C2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568" w:type="dxa"/>
            <w:vAlign w:val="center"/>
          </w:tcPr>
          <w:p w14:paraId="3412370B" w14:textId="529AF90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Metoda nie może wymagać dodatkowej ingerencji przy badanej próbce (np. rozcieńczania surowicy)</w:t>
            </w:r>
          </w:p>
        </w:tc>
        <w:tc>
          <w:tcPr>
            <w:tcW w:w="1984" w:type="dxa"/>
            <w:vAlign w:val="center"/>
          </w:tcPr>
          <w:p w14:paraId="754CE8BD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3C7E374" w14:textId="77777777" w:rsidTr="00F61254">
        <w:tc>
          <w:tcPr>
            <w:tcW w:w="587" w:type="dxa"/>
            <w:vAlign w:val="center"/>
          </w:tcPr>
          <w:p w14:paraId="3C116BCC" w14:textId="5C592F2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568" w:type="dxa"/>
            <w:vAlign w:val="center"/>
          </w:tcPr>
          <w:p w14:paraId="03614868" w14:textId="467DB68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dolna granica wykrywalności od 0,15kU/L</w:t>
            </w:r>
          </w:p>
        </w:tc>
        <w:tc>
          <w:tcPr>
            <w:tcW w:w="1984" w:type="dxa"/>
            <w:vAlign w:val="center"/>
          </w:tcPr>
          <w:p w14:paraId="5680BC6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58EEA90" w14:textId="77777777" w:rsidTr="00F61254">
        <w:tc>
          <w:tcPr>
            <w:tcW w:w="587" w:type="dxa"/>
            <w:vAlign w:val="center"/>
          </w:tcPr>
          <w:p w14:paraId="09BEE73B" w14:textId="0C0ECBFA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568" w:type="dxa"/>
            <w:vAlign w:val="center"/>
          </w:tcPr>
          <w:p w14:paraId="7BB97156" w14:textId="6D2C54B5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Czas wykonania badania – do 3 godzin</w:t>
            </w:r>
          </w:p>
        </w:tc>
        <w:tc>
          <w:tcPr>
            <w:tcW w:w="1984" w:type="dxa"/>
            <w:vAlign w:val="center"/>
          </w:tcPr>
          <w:p w14:paraId="143DE53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C30ABC" w14:textId="77777777" w:rsidTr="00F61254">
        <w:tc>
          <w:tcPr>
            <w:tcW w:w="587" w:type="dxa"/>
            <w:vAlign w:val="center"/>
          </w:tcPr>
          <w:p w14:paraId="117BC9D2" w14:textId="45CAC8A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568" w:type="dxa"/>
            <w:vAlign w:val="center"/>
          </w:tcPr>
          <w:p w14:paraId="54FA3902" w14:textId="33DD336D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Zestaw odczynnikowy powinien zawierać wszelkie odczynniki niezbędne do wykonania badań i inkubacji</w:t>
            </w:r>
          </w:p>
        </w:tc>
        <w:tc>
          <w:tcPr>
            <w:tcW w:w="1984" w:type="dxa"/>
            <w:vAlign w:val="center"/>
          </w:tcPr>
          <w:p w14:paraId="1E69D2A7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711A60AC" w14:textId="77777777" w:rsidTr="00F61254">
        <w:tc>
          <w:tcPr>
            <w:tcW w:w="587" w:type="dxa"/>
            <w:vAlign w:val="center"/>
          </w:tcPr>
          <w:p w14:paraId="289F9C61" w14:textId="39816394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568" w:type="dxa"/>
            <w:vAlign w:val="center"/>
          </w:tcPr>
          <w:p w14:paraId="0E3EF707" w14:textId="59A13BD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Wszystkie odczynniki gotowe do bezpośredniego użycia (dopuszcza się możliwość przygotowania buforu płuczącego – rozpuszczenie lub rozcieńczenie)</w:t>
            </w:r>
          </w:p>
        </w:tc>
        <w:tc>
          <w:tcPr>
            <w:tcW w:w="1984" w:type="dxa"/>
            <w:vAlign w:val="center"/>
          </w:tcPr>
          <w:p w14:paraId="20978D7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836FBE" w14:textId="77777777" w:rsidTr="00F61254">
        <w:tc>
          <w:tcPr>
            <w:tcW w:w="587" w:type="dxa"/>
            <w:vAlign w:val="center"/>
          </w:tcPr>
          <w:p w14:paraId="2AE13983" w14:textId="328FBDC0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568" w:type="dxa"/>
            <w:vAlign w:val="center"/>
          </w:tcPr>
          <w:p w14:paraId="1D6811EF" w14:textId="292912BF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Trwałość buforu płuczącego po przygotowaniu – minimum 30 dni</w:t>
            </w:r>
          </w:p>
        </w:tc>
        <w:tc>
          <w:tcPr>
            <w:tcW w:w="1984" w:type="dxa"/>
            <w:vAlign w:val="center"/>
          </w:tcPr>
          <w:p w14:paraId="3C84D24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98734E5" w14:textId="77777777" w:rsidTr="00F61254">
        <w:tc>
          <w:tcPr>
            <w:tcW w:w="587" w:type="dxa"/>
            <w:vAlign w:val="center"/>
          </w:tcPr>
          <w:p w14:paraId="5581A41F" w14:textId="79E4CA2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568" w:type="dxa"/>
            <w:vAlign w:val="center"/>
          </w:tcPr>
          <w:p w14:paraId="69822CB9" w14:textId="421A5FB8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Cały proces badania odbywa się w temperaturze pokojowej (od 18 do 24◦C) bez konieczności zamian warunków metodologicznych (np. zmiany długości czasu inkubacji dla poszczególnych odczynników) w tym zakresie temperatury</w:t>
            </w:r>
          </w:p>
        </w:tc>
        <w:tc>
          <w:tcPr>
            <w:tcW w:w="1984" w:type="dxa"/>
            <w:vAlign w:val="center"/>
          </w:tcPr>
          <w:p w14:paraId="41FAB1E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53A42F6" w14:textId="77777777" w:rsidTr="00F61254">
        <w:tc>
          <w:tcPr>
            <w:tcW w:w="587" w:type="dxa"/>
            <w:vAlign w:val="center"/>
          </w:tcPr>
          <w:p w14:paraId="3B46BA9C" w14:textId="2D72B604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568" w:type="dxa"/>
            <w:vAlign w:val="center"/>
          </w:tcPr>
          <w:p w14:paraId="0A962FCB" w14:textId="77777777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Nitrocelulozowa membrana testu trwale umieszczona w komorze przez producenta – umożliwia</w:t>
            </w:r>
          </w:p>
          <w:p w14:paraId="2371C83E" w14:textId="2D313429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Wykonanie badania  i odczyt wyniku bez konieczności przenoszenia jej w trakcie trwania procedury</w:t>
            </w:r>
          </w:p>
        </w:tc>
        <w:tc>
          <w:tcPr>
            <w:tcW w:w="1984" w:type="dxa"/>
            <w:vAlign w:val="center"/>
          </w:tcPr>
          <w:p w14:paraId="5F1BB6A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C59C1BE" w14:textId="77777777" w:rsidTr="00F61254">
        <w:tc>
          <w:tcPr>
            <w:tcW w:w="587" w:type="dxa"/>
            <w:vAlign w:val="center"/>
          </w:tcPr>
          <w:p w14:paraId="548AA84F" w14:textId="15FD6D1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8" w:type="dxa"/>
            <w:vAlign w:val="center"/>
          </w:tcPr>
          <w:p w14:paraId="6667C067" w14:textId="5BD8DC39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jest, aby testy były kalibrowane indywidualnie (dopuszcza się kalibrację co 28 dni)</w:t>
            </w:r>
          </w:p>
        </w:tc>
        <w:tc>
          <w:tcPr>
            <w:tcW w:w="1984" w:type="dxa"/>
            <w:vAlign w:val="center"/>
          </w:tcPr>
          <w:p w14:paraId="354D2A3A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309BD25" w14:textId="77777777" w:rsidTr="00F61254">
        <w:tc>
          <w:tcPr>
            <w:tcW w:w="587" w:type="dxa"/>
            <w:vAlign w:val="center"/>
          </w:tcPr>
          <w:p w14:paraId="335F67D5" w14:textId="358EFF19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568" w:type="dxa"/>
            <w:vAlign w:val="center"/>
          </w:tcPr>
          <w:p w14:paraId="6E1F23DA" w14:textId="79BEDE4D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Kalibratory służące do wykreślenia krzywej kalibracyjnej, z ludzkim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  <w:r w:rsidRPr="00A728F3">
              <w:rPr>
                <w:rFonts w:ascii="Arial" w:hAnsi="Arial" w:cs="Arial"/>
              </w:rPr>
              <w:t>, o znanym stężeniu (</w:t>
            </w:r>
            <w:proofErr w:type="spellStart"/>
            <w:r w:rsidRPr="00A728F3">
              <w:rPr>
                <w:rFonts w:ascii="Arial" w:hAnsi="Arial" w:cs="Arial"/>
              </w:rPr>
              <w:t>kU</w:t>
            </w:r>
            <w:proofErr w:type="spellEnd"/>
            <w:r w:rsidRPr="00A728F3">
              <w:rPr>
                <w:rFonts w:ascii="Arial" w:hAnsi="Arial" w:cs="Arial"/>
              </w:rPr>
              <w:t>/L), podanym przez producenta, zawarte w każdym teście lub zapewnione nieodpłatnie przez wykonawcę co 28 dni</w:t>
            </w:r>
          </w:p>
        </w:tc>
        <w:tc>
          <w:tcPr>
            <w:tcW w:w="1984" w:type="dxa"/>
            <w:vAlign w:val="center"/>
          </w:tcPr>
          <w:p w14:paraId="3BAF66D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02A300" w14:textId="77777777" w:rsidTr="00F61254">
        <w:tc>
          <w:tcPr>
            <w:tcW w:w="587" w:type="dxa"/>
            <w:vAlign w:val="center"/>
          </w:tcPr>
          <w:p w14:paraId="1006C56D" w14:textId="4667C8E2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568" w:type="dxa"/>
            <w:vAlign w:val="center"/>
          </w:tcPr>
          <w:p w14:paraId="6ED091C1" w14:textId="3889F38C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Możliwość podglądu i archiwizacji krzywej kalibracyjnej</w:t>
            </w:r>
          </w:p>
        </w:tc>
        <w:tc>
          <w:tcPr>
            <w:tcW w:w="1984" w:type="dxa"/>
            <w:vAlign w:val="center"/>
          </w:tcPr>
          <w:p w14:paraId="52748AEE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2E8B379" w14:textId="77777777" w:rsidTr="00F61254">
        <w:tc>
          <w:tcPr>
            <w:tcW w:w="587" w:type="dxa"/>
            <w:vAlign w:val="center"/>
          </w:tcPr>
          <w:p w14:paraId="53E4EA32" w14:textId="06AE66CA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568" w:type="dxa"/>
            <w:vAlign w:val="center"/>
          </w:tcPr>
          <w:p w14:paraId="0FF9604D" w14:textId="4D9E87A5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Termin ważności odczynników – minimum 10 miesięcy liczony od dnia dostawy</w:t>
            </w:r>
          </w:p>
        </w:tc>
        <w:tc>
          <w:tcPr>
            <w:tcW w:w="1984" w:type="dxa"/>
            <w:vAlign w:val="center"/>
          </w:tcPr>
          <w:p w14:paraId="6CF01F2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F4EB740" w14:textId="77777777" w:rsidTr="00F61254">
        <w:tc>
          <w:tcPr>
            <w:tcW w:w="587" w:type="dxa"/>
            <w:vAlign w:val="center"/>
          </w:tcPr>
          <w:p w14:paraId="48EDFF85" w14:textId="753A9310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568" w:type="dxa"/>
            <w:vAlign w:val="center"/>
          </w:tcPr>
          <w:p w14:paraId="6D707365" w14:textId="4ADB923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Szkolenie personelu przeprowadzone w siedzibie zamawiającego – w ramach ceny oferty </w:t>
            </w:r>
          </w:p>
        </w:tc>
        <w:tc>
          <w:tcPr>
            <w:tcW w:w="1984" w:type="dxa"/>
            <w:vAlign w:val="center"/>
          </w:tcPr>
          <w:p w14:paraId="0E07E0F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6CC4381" w14:textId="77777777" w:rsidTr="00F61254">
        <w:tc>
          <w:tcPr>
            <w:tcW w:w="587" w:type="dxa"/>
            <w:vAlign w:val="center"/>
          </w:tcPr>
          <w:p w14:paraId="21909025" w14:textId="30A114F1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568" w:type="dxa"/>
            <w:vAlign w:val="center"/>
          </w:tcPr>
          <w:p w14:paraId="41F69D3B" w14:textId="62B33BBA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 dostarczanie niezbędnego sprzętu do manualnego wykonania badania, odczytu i raportowania wyników – w ramach ceny oferty</w:t>
            </w:r>
          </w:p>
        </w:tc>
        <w:tc>
          <w:tcPr>
            <w:tcW w:w="1984" w:type="dxa"/>
            <w:vAlign w:val="center"/>
          </w:tcPr>
          <w:p w14:paraId="2CFAA658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4008481" w14:textId="77777777" w:rsidTr="00F61254">
        <w:tc>
          <w:tcPr>
            <w:tcW w:w="587" w:type="dxa"/>
            <w:vAlign w:val="center"/>
          </w:tcPr>
          <w:p w14:paraId="49984AC5" w14:textId="43E3BE7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568" w:type="dxa"/>
            <w:vAlign w:val="center"/>
          </w:tcPr>
          <w:p w14:paraId="72794FDD" w14:textId="09CED2E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Program do odczytywania i interpretacji testów oraz jego aktualizacja – w ramach ceny oferty (płyta CD lub DVD)</w:t>
            </w:r>
          </w:p>
        </w:tc>
        <w:tc>
          <w:tcPr>
            <w:tcW w:w="1984" w:type="dxa"/>
            <w:vAlign w:val="center"/>
          </w:tcPr>
          <w:p w14:paraId="32F9CB7F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74B3DE79" w14:textId="77777777" w:rsidTr="00F61254">
        <w:tc>
          <w:tcPr>
            <w:tcW w:w="587" w:type="dxa"/>
            <w:vAlign w:val="center"/>
          </w:tcPr>
          <w:p w14:paraId="5E01E995" w14:textId="632C6009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568" w:type="dxa"/>
            <w:vAlign w:val="center"/>
          </w:tcPr>
          <w:p w14:paraId="0A6AE58E" w14:textId="1742D00A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Instrukcje obsługi – wymagany język polski</w:t>
            </w:r>
          </w:p>
        </w:tc>
        <w:tc>
          <w:tcPr>
            <w:tcW w:w="1984" w:type="dxa"/>
            <w:vAlign w:val="center"/>
          </w:tcPr>
          <w:p w14:paraId="41F525B1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5F69F76E" w14:textId="77777777" w:rsidTr="00F61254">
        <w:tc>
          <w:tcPr>
            <w:tcW w:w="587" w:type="dxa"/>
            <w:vAlign w:val="center"/>
          </w:tcPr>
          <w:p w14:paraId="729D48C4" w14:textId="4DDBAFD0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568" w:type="dxa"/>
            <w:vAlign w:val="center"/>
          </w:tcPr>
          <w:p w14:paraId="16FD88C2" w14:textId="52F32DC8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Język interpretacji, raportowania i archiwizacji wyników badań – wymagany jest język polski</w:t>
            </w:r>
          </w:p>
        </w:tc>
        <w:tc>
          <w:tcPr>
            <w:tcW w:w="1984" w:type="dxa"/>
            <w:vAlign w:val="center"/>
          </w:tcPr>
          <w:p w14:paraId="17743034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22DA278D" w14:textId="77777777" w:rsidTr="00F61254">
        <w:tc>
          <w:tcPr>
            <w:tcW w:w="587" w:type="dxa"/>
            <w:vAlign w:val="center"/>
          </w:tcPr>
          <w:p w14:paraId="118346D5" w14:textId="689DF586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568" w:type="dxa"/>
            <w:vAlign w:val="center"/>
          </w:tcPr>
          <w:p w14:paraId="74411D7C" w14:textId="2F5C8E93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Obraz każdego paska – zapisany i archiwizowany w programie - możliwość automatycznej identyfikacji panelu</w:t>
            </w:r>
          </w:p>
        </w:tc>
        <w:tc>
          <w:tcPr>
            <w:tcW w:w="1984" w:type="dxa"/>
            <w:vAlign w:val="center"/>
          </w:tcPr>
          <w:p w14:paraId="01152286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56BE37E" w14:textId="77777777" w:rsidR="002C6B42" w:rsidRDefault="002C6B42" w:rsidP="001A716B">
      <w:pPr>
        <w:ind w:firstLine="708"/>
      </w:pPr>
    </w:p>
    <w:p w14:paraId="470360D8" w14:textId="77777777" w:rsidR="002C6B42" w:rsidRDefault="002C6B42" w:rsidP="001A716B">
      <w:pPr>
        <w:ind w:firstLine="708"/>
      </w:pPr>
    </w:p>
    <w:p w14:paraId="0F8D69B0" w14:textId="77777777" w:rsidR="002C6B42" w:rsidRPr="008C636B" w:rsidRDefault="002C6B42" w:rsidP="002C6B42">
      <w:pPr>
        <w:jc w:val="both"/>
        <w:rPr>
          <w:rFonts w:ascii="Calibri" w:hAnsi="Calibri" w:cs="Calibri"/>
        </w:rPr>
      </w:pPr>
    </w:p>
    <w:p w14:paraId="3F1C2DC6" w14:textId="77777777" w:rsidR="002C6B42" w:rsidRPr="008C636B" w:rsidRDefault="002C6B42" w:rsidP="002C6B42">
      <w:pPr>
        <w:jc w:val="both"/>
        <w:rPr>
          <w:rFonts w:ascii="Calibri" w:hAnsi="Calibri" w:cs="Calibri"/>
          <w:i/>
        </w:rPr>
      </w:pPr>
      <w:r w:rsidRPr="008C636B">
        <w:rPr>
          <w:rFonts w:ascii="Calibri" w:hAnsi="Calibri" w:cs="Calibri"/>
        </w:rPr>
        <w:t xml:space="preserve">......................., dnia ........................             </w:t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  <w:t>…..................................................</w:t>
      </w:r>
    </w:p>
    <w:p w14:paraId="3714DE8B" w14:textId="77777777" w:rsidR="002C6B42" w:rsidRPr="008C636B" w:rsidRDefault="002C6B42" w:rsidP="002C6B42">
      <w:pPr>
        <w:pStyle w:val="Tekstprzypisudolnego"/>
        <w:ind w:left="4820" w:firstLine="0"/>
        <w:jc w:val="center"/>
        <w:rPr>
          <w:rFonts w:ascii="Calibri" w:hAnsi="Calibri" w:cs="Calibri"/>
          <w:bCs/>
          <w:i/>
        </w:rPr>
      </w:pPr>
      <w:r w:rsidRPr="008C636B">
        <w:rPr>
          <w:rFonts w:ascii="Calibri" w:hAnsi="Calibri" w:cs="Calibri"/>
          <w:i/>
        </w:rPr>
        <w:t>Podpisy przedstawicieli Wykonawcy</w:t>
      </w:r>
    </w:p>
    <w:p w14:paraId="36AA5DA1" w14:textId="77777777" w:rsidR="002C6B42" w:rsidRPr="0092346C" w:rsidRDefault="002C6B42" w:rsidP="002C6B42">
      <w:pPr>
        <w:ind w:left="4962"/>
        <w:jc w:val="center"/>
        <w:rPr>
          <w:rFonts w:ascii="Calibri" w:hAnsi="Calibri" w:cs="Calibri"/>
        </w:rPr>
      </w:pPr>
      <w:r w:rsidRPr="008C636B">
        <w:rPr>
          <w:rFonts w:ascii="Calibri" w:hAnsi="Calibri" w:cs="Calibri"/>
          <w:bCs/>
          <w:i/>
        </w:rPr>
        <w:t xml:space="preserve">upoważnionych do jego reprezentowania </w:t>
      </w:r>
    </w:p>
    <w:p w14:paraId="40D6A8E1" w14:textId="77777777" w:rsidR="002C6B42" w:rsidRPr="00BA7380" w:rsidRDefault="002C6B42" w:rsidP="002C6B42">
      <w:pPr>
        <w:rPr>
          <w:rFonts w:ascii="Calibri" w:hAnsi="Calibri" w:cs="Calibri"/>
          <w:sz w:val="24"/>
          <w:szCs w:val="24"/>
        </w:rPr>
      </w:pPr>
    </w:p>
    <w:p w14:paraId="06198CD8" w14:textId="77777777" w:rsidR="002C6B42" w:rsidRDefault="002C6B42" w:rsidP="001A716B">
      <w:pPr>
        <w:ind w:firstLine="708"/>
      </w:pPr>
    </w:p>
    <w:p w14:paraId="1D3CEA6D" w14:textId="77777777" w:rsidR="002C6B42" w:rsidRPr="001A716B" w:rsidRDefault="002C6B42" w:rsidP="001A716B">
      <w:pPr>
        <w:ind w:firstLine="708"/>
      </w:pPr>
    </w:p>
    <w:sectPr w:rsidR="002C6B42" w:rsidRPr="001A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C9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AE7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535"/>
    <w:multiLevelType w:val="hybridMultilevel"/>
    <w:tmpl w:val="A3D6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57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6E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525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12E2"/>
    <w:multiLevelType w:val="hybridMultilevel"/>
    <w:tmpl w:val="FFC2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4EF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48D"/>
    <w:multiLevelType w:val="hybridMultilevel"/>
    <w:tmpl w:val="FBB6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07B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535B"/>
    <w:multiLevelType w:val="hybridMultilevel"/>
    <w:tmpl w:val="F0A6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07A7"/>
    <w:multiLevelType w:val="hybridMultilevel"/>
    <w:tmpl w:val="6816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85D"/>
    <w:multiLevelType w:val="hybridMultilevel"/>
    <w:tmpl w:val="FD7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5489">
    <w:abstractNumId w:val="11"/>
  </w:num>
  <w:num w:numId="2" w16cid:durableId="604118379">
    <w:abstractNumId w:val="11"/>
  </w:num>
  <w:num w:numId="3" w16cid:durableId="929436801">
    <w:abstractNumId w:val="0"/>
  </w:num>
  <w:num w:numId="4" w16cid:durableId="1531214794">
    <w:abstractNumId w:val="8"/>
  </w:num>
  <w:num w:numId="5" w16cid:durableId="1513572759">
    <w:abstractNumId w:val="5"/>
  </w:num>
  <w:num w:numId="6" w16cid:durableId="1471290653">
    <w:abstractNumId w:val="10"/>
  </w:num>
  <w:num w:numId="7" w16cid:durableId="524294327">
    <w:abstractNumId w:val="4"/>
  </w:num>
  <w:num w:numId="8" w16cid:durableId="2048289081">
    <w:abstractNumId w:val="0"/>
  </w:num>
  <w:num w:numId="9" w16cid:durableId="217983531">
    <w:abstractNumId w:val="13"/>
  </w:num>
  <w:num w:numId="10" w16cid:durableId="1491941280">
    <w:abstractNumId w:val="6"/>
  </w:num>
  <w:num w:numId="11" w16cid:durableId="1127972564">
    <w:abstractNumId w:val="1"/>
  </w:num>
  <w:num w:numId="12" w16cid:durableId="1333027428">
    <w:abstractNumId w:val="2"/>
  </w:num>
  <w:num w:numId="13" w16cid:durableId="1390615894">
    <w:abstractNumId w:val="3"/>
  </w:num>
  <w:num w:numId="14" w16cid:durableId="1349018959">
    <w:abstractNumId w:val="7"/>
  </w:num>
  <w:num w:numId="15" w16cid:durableId="1558543068">
    <w:abstractNumId w:val="9"/>
  </w:num>
  <w:num w:numId="16" w16cid:durableId="505511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6B"/>
    <w:rsid w:val="00094DC0"/>
    <w:rsid w:val="0009519F"/>
    <w:rsid w:val="000F6DE9"/>
    <w:rsid w:val="00190991"/>
    <w:rsid w:val="001A716B"/>
    <w:rsid w:val="001B2E41"/>
    <w:rsid w:val="001D2858"/>
    <w:rsid w:val="001E300E"/>
    <w:rsid w:val="001E720A"/>
    <w:rsid w:val="002016B0"/>
    <w:rsid w:val="0022107C"/>
    <w:rsid w:val="002C6B42"/>
    <w:rsid w:val="00333D8D"/>
    <w:rsid w:val="003B1EE8"/>
    <w:rsid w:val="00471055"/>
    <w:rsid w:val="00494738"/>
    <w:rsid w:val="005913F9"/>
    <w:rsid w:val="005B484A"/>
    <w:rsid w:val="00635D3E"/>
    <w:rsid w:val="00664A75"/>
    <w:rsid w:val="00667886"/>
    <w:rsid w:val="006B161B"/>
    <w:rsid w:val="006E12A0"/>
    <w:rsid w:val="006F1DED"/>
    <w:rsid w:val="00786952"/>
    <w:rsid w:val="00936E4D"/>
    <w:rsid w:val="00A728F3"/>
    <w:rsid w:val="00AE63E2"/>
    <w:rsid w:val="00D740F0"/>
    <w:rsid w:val="00DB1D23"/>
    <w:rsid w:val="00F27B8F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9905"/>
  <w15:chartTrackingRefBased/>
  <w15:docId w15:val="{FAA74A93-E8B6-4B1D-BEF4-C91EB75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716B"/>
    <w:pPr>
      <w:widowControl w:val="0"/>
      <w:suppressLineNumbers/>
      <w:suppressAutoHyphens/>
      <w:ind w:left="283" w:hanging="283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16B"/>
    <w:rPr>
      <w:rFonts w:ascii="Times New Roman" w:eastAsia="Lucida Sans Unicode" w:hAnsi="Times New Roman" w:cs="Tahoma"/>
      <w:kern w:val="1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33D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33D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13F9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HD. Dworzański</dc:creator>
  <cp:keywords/>
  <dc:description/>
  <cp:lastModifiedBy>Krystyna Karaś</cp:lastModifiedBy>
  <cp:revision>16</cp:revision>
  <cp:lastPrinted>2022-11-09T08:44:00Z</cp:lastPrinted>
  <dcterms:created xsi:type="dcterms:W3CDTF">2022-11-07T12:59:00Z</dcterms:created>
  <dcterms:modified xsi:type="dcterms:W3CDTF">2022-11-24T11:57:00Z</dcterms:modified>
</cp:coreProperties>
</file>